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GoBack"/>
      <w:bookmarkEnd w:id="0"/>
      <w:r w:rsidRPr="002B7E4F">
        <w:rPr>
          <w:rFonts w:ascii="Arial" w:hAnsi="Arial" w:cs="Arial"/>
          <w:b/>
          <w:sz w:val="22"/>
          <w:szCs w:val="22"/>
          <w:lang w:val="es-MX"/>
        </w:rPr>
        <w:t>EP</w:t>
      </w:r>
      <w:r w:rsidR="00690EBC">
        <w:rPr>
          <w:rFonts w:ascii="Arial" w:hAnsi="Arial" w:cs="Arial"/>
          <w:b/>
          <w:sz w:val="22"/>
          <w:szCs w:val="22"/>
          <w:lang w:val="es-MX"/>
        </w:rPr>
        <w:t>.</w:t>
      </w:r>
      <w:r w:rsidRPr="002B7E4F">
        <w:rPr>
          <w:rFonts w:ascii="Arial" w:hAnsi="Arial" w:cs="Arial"/>
          <w:b/>
          <w:sz w:val="22"/>
          <w:szCs w:val="22"/>
          <w:lang w:val="es-MX"/>
        </w:rPr>
        <w:t xml:space="preserve"> 110</w:t>
      </w:r>
      <w:r w:rsidR="00690EBC">
        <w:rPr>
          <w:rFonts w:ascii="Arial" w:hAnsi="Arial" w:cs="Arial"/>
          <w:b/>
          <w:sz w:val="22"/>
          <w:szCs w:val="22"/>
          <w:lang w:val="es-MX"/>
        </w:rPr>
        <w:t>.-</w:t>
      </w:r>
      <w:r w:rsidRPr="002B7E4F">
        <w:rPr>
          <w:rFonts w:ascii="Arial" w:hAnsi="Arial" w:cs="Arial"/>
          <w:b/>
          <w:sz w:val="22"/>
          <w:szCs w:val="22"/>
          <w:lang w:val="es-MX"/>
        </w:rPr>
        <w:t xml:space="preserve"> TOMA SIAMESA</w:t>
      </w:r>
    </w:p>
    <w:p w:rsidR="002B7E4F" w:rsidRPr="002B7E4F" w:rsidRDefault="002B7E4F" w:rsidP="002B7E4F">
      <w:pPr>
        <w:jc w:val="both"/>
        <w:rPr>
          <w:rFonts w:ascii="Arial" w:hAnsi="Arial" w:cs="Arial"/>
          <w:b/>
          <w:sz w:val="22"/>
          <w:szCs w:val="22"/>
          <w:lang w:val="es-MX"/>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Toma siamesa para bomberos. Toma siamesa con 2 tomas </w:t>
      </w:r>
      <w:proofErr w:type="gramStart"/>
      <w:r w:rsidRPr="002B7E4F">
        <w:rPr>
          <w:rFonts w:ascii="Arial" w:hAnsi="Arial" w:cs="Arial"/>
          <w:sz w:val="22"/>
          <w:szCs w:val="22"/>
        </w:rPr>
        <w:t>de  2</w:t>
      </w:r>
      <w:proofErr w:type="gramEnd"/>
      <w:r w:rsidRPr="002B7E4F">
        <w:rPr>
          <w:rFonts w:ascii="Arial" w:hAnsi="Arial" w:cs="Arial"/>
          <w:sz w:val="22"/>
          <w:szCs w:val="22"/>
        </w:rPr>
        <w:t xml:space="preserve"> 1/2" y alimentación en 4". Incluye válvula </w:t>
      </w:r>
      <w:proofErr w:type="spellStart"/>
      <w:r w:rsidRPr="002B7E4F">
        <w:rPr>
          <w:rFonts w:ascii="Arial" w:hAnsi="Arial" w:cs="Arial"/>
          <w:sz w:val="22"/>
          <w:szCs w:val="22"/>
        </w:rPr>
        <w:t>antiretorno</w:t>
      </w:r>
      <w:proofErr w:type="spellEnd"/>
      <w:r w:rsidRPr="002B7E4F">
        <w:rPr>
          <w:rFonts w:ascii="Arial" w:hAnsi="Arial" w:cs="Arial"/>
          <w:sz w:val="22"/>
          <w:szCs w:val="22"/>
        </w:rPr>
        <w:t xml:space="preserve"> de 4". Según planos de proyecto.</w:t>
      </w:r>
    </w:p>
    <w:p w:rsidR="002B7E4F" w:rsidRPr="002B7E4F" w:rsidRDefault="002B7E4F" w:rsidP="002B7E4F">
      <w:pPr>
        <w:jc w:val="both"/>
        <w:rPr>
          <w:rFonts w:ascii="Arial" w:hAnsi="Arial" w:cs="Arial"/>
          <w:sz w:val="22"/>
          <w:szCs w:val="22"/>
          <w:lang w:val="es-MX"/>
        </w:rPr>
      </w:pPr>
    </w:p>
    <w:p w:rsidR="002B7E4F" w:rsidRPr="002B7E4F" w:rsidRDefault="002B7E4F" w:rsidP="00462F48">
      <w:pPr>
        <w:pStyle w:val="TITULO-3"/>
        <w:numPr>
          <w:ilvl w:val="2"/>
          <w:numId w:val="39"/>
        </w:numPr>
        <w:rPr>
          <w:rFonts w:ascii="Arial" w:hAnsi="Arial" w:cs="Arial"/>
          <w:b/>
          <w:sz w:val="22"/>
          <w:szCs w:val="22"/>
        </w:rPr>
      </w:pPr>
      <w:bookmarkStart w:id="1" w:name="_Toc368671552"/>
      <w:r w:rsidRPr="002B7E4F">
        <w:rPr>
          <w:rFonts w:ascii="Arial" w:hAnsi="Arial" w:cs="Arial"/>
          <w:b/>
          <w:sz w:val="22"/>
          <w:szCs w:val="22"/>
        </w:rPr>
        <w:t>Características Técnicas</w:t>
      </w:r>
      <w:bookmarkEnd w:id="1"/>
    </w:p>
    <w:p w:rsidR="002B7E4F" w:rsidRPr="002B7E4F" w:rsidRDefault="002B7E4F" w:rsidP="00462F48">
      <w:pPr>
        <w:pStyle w:val="TITULO-4"/>
        <w:numPr>
          <w:ilvl w:val="3"/>
          <w:numId w:val="39"/>
        </w:numPr>
        <w:rPr>
          <w:spacing w:val="-1"/>
          <w:sz w:val="22"/>
          <w:szCs w:val="22"/>
        </w:rPr>
      </w:pPr>
      <w:bookmarkStart w:id="2" w:name="_Toc368671553"/>
      <w:r w:rsidRPr="002B7E4F">
        <w:rPr>
          <w:spacing w:val="-1"/>
          <w:sz w:val="22"/>
          <w:szCs w:val="22"/>
        </w:rPr>
        <w:t>Base de selección.</w:t>
      </w:r>
      <w:bookmarkEnd w:id="2"/>
    </w:p>
    <w:p w:rsidR="002B7E4F" w:rsidRPr="002B7E4F" w:rsidRDefault="002B7E4F" w:rsidP="002B7E4F">
      <w:pPr>
        <w:jc w:val="both"/>
        <w:rPr>
          <w:rFonts w:ascii="Arial" w:hAnsi="Arial" w:cs="Arial"/>
          <w:sz w:val="22"/>
          <w:szCs w:val="22"/>
        </w:rPr>
      </w:pPr>
      <w:r w:rsidRPr="002B7E4F">
        <w:rPr>
          <w:rFonts w:ascii="Arial" w:hAnsi="Arial" w:cs="Arial"/>
          <w:sz w:val="22"/>
          <w:szCs w:val="22"/>
        </w:rPr>
        <w:t>Las características de los equipos seleccionados se han basado en la siguiente descripción y ha servido de guía para la selección de las mismas.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drawing>
          <wp:inline distT="0" distB="0" distL="0" distR="0">
            <wp:extent cx="5327015" cy="2487930"/>
            <wp:effectExtent l="19050" t="0" r="6985" b="0"/>
            <wp:docPr id="128" name="Imagen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9" cstate="print"/>
                    <a:srcRect l="25179" t="20512" r="24840" b="42052"/>
                    <a:stretch>
                      <a:fillRect/>
                    </a:stretch>
                  </pic:blipFill>
                  <pic:spPr bwMode="auto">
                    <a:xfrm>
                      <a:off x="0" y="0"/>
                      <a:ext cx="5327015" cy="248793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732E2B" w:rsidP="002B7E4F">
      <w:pPr>
        <w:jc w:val="both"/>
        <w:rPr>
          <w:rFonts w:ascii="Arial" w:hAnsi="Arial" w:cs="Arial"/>
          <w:sz w:val="22"/>
          <w:szCs w:val="22"/>
        </w:rPr>
      </w:pPr>
      <w:r>
        <w:rPr>
          <w:rFonts w:ascii="Arial" w:hAnsi="Arial" w:cs="Arial"/>
          <w:noProof/>
          <w:sz w:val="22"/>
          <w:szCs w:val="22"/>
          <w:lang w:eastAsia="en-US"/>
        </w:rPr>
        <w:pict>
          <v:rect id="_x0000_s1049" style="position:absolute;left:0;text-align:left;margin-left:-13.3pt;margin-top:418.75pt;width:487.25pt;height:16.3pt;z-index:251693056" filled="f" strokecolor="#c0504d" strokeweight="2.5pt">
            <v:shadow color="#868686"/>
          </v:rect>
        </w:pict>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equipo diferente a seleccionar deberá ser homologado bajo las características técnicas a las contempladas en el proyecto ejecutivo y en base a lo indicado en esta especificación técnica. La homologación contemplará las características de calidad, funcionalidad y  deberá cumplir con las características técnicas y funcionales enmarcadas en el proyecto ejecutivo o en esta especificación técnica.</w:t>
      </w:r>
    </w:p>
    <w:p w:rsidR="002B7E4F" w:rsidRPr="002B7E4F" w:rsidRDefault="002B7E4F" w:rsidP="002B7E4F">
      <w:pPr>
        <w:widowControl w:val="0"/>
        <w:ind w:right="508"/>
        <w:jc w:val="both"/>
        <w:rPr>
          <w:rFonts w:ascii="Arial" w:hAnsi="Arial" w:cs="Arial"/>
          <w:spacing w:val="-1"/>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b/>
      </w:r>
    </w:p>
    <w:p w:rsidR="002B7E4F" w:rsidRPr="002B7E4F" w:rsidRDefault="002B7E4F" w:rsidP="00462F48">
      <w:pPr>
        <w:pStyle w:val="TITULO-4"/>
        <w:numPr>
          <w:ilvl w:val="3"/>
          <w:numId w:val="39"/>
        </w:numPr>
        <w:rPr>
          <w:spacing w:val="-1"/>
          <w:sz w:val="22"/>
          <w:szCs w:val="22"/>
        </w:rPr>
      </w:pPr>
      <w:bookmarkStart w:id="3" w:name="_Toc368671554"/>
      <w:r w:rsidRPr="002B7E4F">
        <w:rPr>
          <w:spacing w:val="-1"/>
          <w:sz w:val="22"/>
          <w:szCs w:val="22"/>
        </w:rPr>
        <w:t>Operación y control.</w:t>
      </w:r>
      <w:bookmarkEnd w:id="3"/>
    </w:p>
    <w:p w:rsidR="002B7E4F" w:rsidRPr="002B7E4F" w:rsidRDefault="002B7E4F" w:rsidP="002B7E4F">
      <w:pPr>
        <w:jc w:val="both"/>
        <w:rPr>
          <w:rFonts w:ascii="Arial" w:hAnsi="Arial" w:cs="Arial"/>
          <w:sz w:val="22"/>
          <w:szCs w:val="22"/>
          <w:lang w:eastAsia="ca-ES"/>
        </w:rPr>
      </w:pPr>
    </w:p>
    <w:p w:rsidR="002B7E4F" w:rsidRPr="002B7E4F" w:rsidRDefault="002B7E4F" w:rsidP="00462F48">
      <w:pPr>
        <w:pStyle w:val="TITULO-3"/>
        <w:numPr>
          <w:ilvl w:val="2"/>
          <w:numId w:val="39"/>
        </w:numPr>
        <w:tabs>
          <w:tab w:val="clear" w:pos="1440"/>
          <w:tab w:val="num" w:pos="851"/>
        </w:tabs>
        <w:ind w:left="851" w:hanging="851"/>
        <w:rPr>
          <w:rFonts w:ascii="Arial" w:hAnsi="Arial" w:cs="Arial"/>
          <w:b/>
          <w:sz w:val="22"/>
          <w:szCs w:val="22"/>
        </w:rPr>
      </w:pPr>
      <w:bookmarkStart w:id="4" w:name="_Toc368671555"/>
      <w:r w:rsidRPr="002B7E4F">
        <w:rPr>
          <w:rFonts w:ascii="Arial" w:hAnsi="Arial" w:cs="Arial"/>
          <w:b/>
          <w:sz w:val="22"/>
          <w:szCs w:val="22"/>
        </w:rPr>
        <w:lastRenderedPageBreak/>
        <w:t>Ejecución de Obra</w:t>
      </w:r>
      <w:bookmarkEnd w:id="4"/>
    </w:p>
    <w:p w:rsidR="002B7E4F" w:rsidRPr="002B7E4F" w:rsidRDefault="002B7E4F" w:rsidP="00462F48">
      <w:pPr>
        <w:pStyle w:val="TITULO-4"/>
        <w:numPr>
          <w:ilvl w:val="3"/>
          <w:numId w:val="39"/>
        </w:numPr>
        <w:rPr>
          <w:sz w:val="22"/>
          <w:szCs w:val="22"/>
        </w:rPr>
      </w:pPr>
      <w:bookmarkStart w:id="5" w:name="_Toc368671556"/>
      <w:r w:rsidRPr="002B7E4F">
        <w:rPr>
          <w:sz w:val="22"/>
          <w:szCs w:val="22"/>
        </w:rPr>
        <w:t>Trabajos preliminares</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Estas actividades comprenden todos aquellos trabajos o actuaciones previas que deberán de desarrollarse, antes de ejecutar los trabajos de instalación toma siamesa  para los diferentes locales o áreas en las estaciones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9"/>
        </w:numPr>
        <w:rPr>
          <w:sz w:val="22"/>
          <w:szCs w:val="22"/>
        </w:rPr>
      </w:pPr>
      <w:bookmarkStart w:id="6" w:name="_Toc368671557"/>
      <w:r w:rsidRPr="002B7E4F">
        <w:rPr>
          <w:sz w:val="22"/>
          <w:szCs w:val="22"/>
        </w:rPr>
        <w:t>Almacenaje y transporte.</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equipo entre en contacto con humedad o polvo.</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equipos de bombeo.</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supervisarán los puntos de almacenaje y que las condiciones sean adecuadas para que el equipo no sufra ninguna avería hasta su puesta en servicio.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9"/>
        </w:numPr>
        <w:rPr>
          <w:sz w:val="22"/>
          <w:szCs w:val="22"/>
        </w:rPr>
      </w:pPr>
      <w:bookmarkStart w:id="7" w:name="_Toc368671558"/>
      <w:r w:rsidRPr="002B7E4F">
        <w:rPr>
          <w:sz w:val="22"/>
          <w:szCs w:val="22"/>
        </w:rPr>
        <w:t>Instalación</w:t>
      </w:r>
      <w:bookmarkEnd w:id="7"/>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 los equipos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suministrador de los equipos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 mencionado en el presente Documento y omitido en los planos, o viceversa, habrá de ser ejecutado como si estuviese desarrollo en ambos documentos. En caso de </w:t>
      </w:r>
      <w:r w:rsidRPr="002B7E4F">
        <w:rPr>
          <w:rFonts w:ascii="Arial" w:hAnsi="Arial" w:cs="Arial"/>
          <w:sz w:val="22"/>
          <w:szCs w:val="22"/>
        </w:rPr>
        <w:lastRenderedPageBreak/>
        <w:t>contradicción entre los planos y el Proyecto Ejecutivo, prevalecerá lo prescrito en este último.</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equipos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Como consecuencia de la información recibida del suministrador del  </w:t>
      </w:r>
      <w:r w:rsidRPr="002B7E4F">
        <w:rPr>
          <w:rFonts w:ascii="Arial" w:hAnsi="Arial" w:cs="Arial"/>
          <w:sz w:val="22"/>
          <w:szCs w:val="22"/>
          <w:lang w:val="es-MX"/>
        </w:rPr>
        <w:t>manómetro de glicerina</w:t>
      </w:r>
      <w:r w:rsidRPr="002B7E4F">
        <w:rPr>
          <w:rFonts w:ascii="Arial" w:hAnsi="Arial" w:cs="Arial"/>
          <w:sz w:val="22"/>
          <w:szCs w:val="22"/>
        </w:rPr>
        <w:t>,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39"/>
        </w:numPr>
        <w:tabs>
          <w:tab w:val="clear" w:pos="1440"/>
          <w:tab w:val="num" w:pos="851"/>
        </w:tabs>
        <w:ind w:left="851" w:hanging="851"/>
        <w:rPr>
          <w:rFonts w:ascii="Arial" w:hAnsi="Arial" w:cs="Arial"/>
          <w:b/>
          <w:sz w:val="22"/>
          <w:szCs w:val="22"/>
        </w:rPr>
      </w:pPr>
      <w:bookmarkStart w:id="8" w:name="_Toc368671559"/>
      <w:r w:rsidRPr="002B7E4F">
        <w:rPr>
          <w:rFonts w:ascii="Arial" w:hAnsi="Arial" w:cs="Arial"/>
          <w:b/>
          <w:sz w:val="22"/>
          <w:szCs w:val="22"/>
        </w:rPr>
        <w:t>Medición</w:t>
      </w:r>
      <w:bookmarkEnd w:id="8"/>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 instalación toma siamesa  se medirán en un solo concepto por suministro de equipos en conjunto con el equipo totalmente instalado, incluyendo accesorios de fijación y montaje, inspecciones, pruebas con carga y sin carga, puesta en marcha y la capacitación del personal operativo. Gestión de licencias, activación y puesta en servicio del equipo. También se incluirán en el presente concepto todos los arreglos de tuberías y accesorios que permitan el correcto funcionamiento de dichos equipos.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39"/>
        </w:numPr>
        <w:tabs>
          <w:tab w:val="clear" w:pos="1440"/>
          <w:tab w:val="num" w:pos="851"/>
        </w:tabs>
        <w:ind w:left="851" w:hanging="851"/>
        <w:rPr>
          <w:rFonts w:ascii="Arial" w:hAnsi="Arial" w:cs="Arial"/>
          <w:b/>
          <w:sz w:val="22"/>
          <w:szCs w:val="22"/>
        </w:rPr>
      </w:pPr>
      <w:bookmarkStart w:id="9" w:name="_Toc368671560"/>
      <w:r w:rsidRPr="002B7E4F">
        <w:rPr>
          <w:rFonts w:ascii="Arial" w:hAnsi="Arial" w:cs="Arial"/>
          <w:b/>
          <w:sz w:val="22"/>
          <w:szCs w:val="22"/>
        </w:rPr>
        <w:t>Pruebas y Ensayo</w:t>
      </w:r>
      <w:bookmarkEnd w:id="9"/>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suministrador y aprobado por la DO y bajo los lineamientos que marquen las normativas vigentes y aplicables.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de presentar certificados de las pruebas de fábrica realizadas a los equipos de acuerdo a lo indicado por las normativas aplicables y bajo los estándares internacionales.</w:t>
      </w:r>
    </w:p>
    <w:p w:rsidR="002B7E4F" w:rsidRPr="002B7E4F" w:rsidRDefault="002B7E4F" w:rsidP="002B7E4F">
      <w:pPr>
        <w:jc w:val="both"/>
        <w:rPr>
          <w:rFonts w:ascii="Arial" w:hAnsi="Arial" w:cs="Arial"/>
          <w:sz w:val="22"/>
          <w:szCs w:val="22"/>
        </w:rPr>
      </w:pPr>
      <w:r w:rsidRPr="002B7E4F">
        <w:rPr>
          <w:rFonts w:ascii="Arial" w:hAnsi="Arial" w:cs="Arial"/>
          <w:sz w:val="22"/>
          <w:szCs w:val="22"/>
        </w:rPr>
        <w:t>Los equipos deberán de calibrarse y probarse en sitio.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9"/>
        </w:numPr>
        <w:rPr>
          <w:sz w:val="22"/>
          <w:szCs w:val="22"/>
        </w:rPr>
      </w:pPr>
      <w:bookmarkStart w:id="10" w:name="_Toc368671561"/>
      <w:r w:rsidRPr="002B7E4F">
        <w:rPr>
          <w:sz w:val="22"/>
          <w:szCs w:val="22"/>
        </w:rPr>
        <w:t>Garantías de calidad</w:t>
      </w:r>
      <w:bookmarkEnd w:id="10"/>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Por lo tanto el suministrador de los equipos,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9"/>
        </w:numPr>
        <w:rPr>
          <w:sz w:val="22"/>
          <w:szCs w:val="22"/>
        </w:rPr>
      </w:pPr>
      <w:bookmarkStart w:id="11" w:name="_Toc368671562"/>
      <w:r w:rsidRPr="002B7E4F">
        <w:rPr>
          <w:sz w:val="22"/>
          <w:szCs w:val="22"/>
        </w:rPr>
        <w:lastRenderedPageBreak/>
        <w:t>Garantías técnicas</w:t>
      </w:r>
      <w:bookmarkEnd w:id="11"/>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equipos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462F48">
      <w:pPr>
        <w:pStyle w:val="TITULO-3"/>
        <w:numPr>
          <w:ilvl w:val="2"/>
          <w:numId w:val="39"/>
        </w:numPr>
        <w:tabs>
          <w:tab w:val="clear" w:pos="1440"/>
          <w:tab w:val="num" w:pos="851"/>
        </w:tabs>
        <w:ind w:left="851" w:hanging="851"/>
        <w:rPr>
          <w:rFonts w:ascii="Arial" w:hAnsi="Arial" w:cs="Arial"/>
          <w:b/>
          <w:sz w:val="22"/>
          <w:szCs w:val="22"/>
        </w:rPr>
      </w:pPr>
      <w:bookmarkStart w:id="12" w:name="_Toc368671563"/>
      <w:r w:rsidRPr="002B7E4F">
        <w:rPr>
          <w:rFonts w:ascii="Arial" w:hAnsi="Arial" w:cs="Arial"/>
          <w:b/>
          <w:sz w:val="22"/>
          <w:szCs w:val="22"/>
        </w:rPr>
        <w:t>Base de Pago</w:t>
      </w:r>
      <w:bookmarkEnd w:id="1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sectPr w:rsidR="002B7E4F" w:rsidRPr="002B7E4F" w:rsidSect="00990E1E">
      <w:headerReference w:type="default" r:id="rId10"/>
      <w:footerReference w:type="even" r:id="rId11"/>
      <w:footerReference w:type="default" r:id="rId12"/>
      <w:footerReference w:type="first" r:id="rId13"/>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732E2B">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2E2B"/>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4CCEE-2E76-49A9-B5CA-915C4B456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1183</Words>
  <Characters>6507</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7675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2014-04-10T22:33:00Z</dcterms:created>
  <dcterms:modified xsi:type="dcterms:W3CDTF">2014-04-10T22:33:00Z</dcterms:modified>
</cp:coreProperties>
</file>